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33BCA" w14:textId="1F787AC6" w:rsidR="008F23CB" w:rsidRDefault="00EA5928" w:rsidP="008F23CB">
      <w:pPr>
        <w:spacing w:line="276" w:lineRule="auto"/>
        <w:jc w:val="center"/>
        <w:rPr>
          <w:rStyle w:val="normaltextrun"/>
          <w:rFonts w:ascii="Arial" w:hAnsi="Arial" w:cs="Arial"/>
          <w:b/>
          <w:bCs/>
          <w:sz w:val="28"/>
          <w:szCs w:val="28"/>
        </w:rPr>
      </w:pPr>
      <w:r>
        <w:rPr>
          <w:rFonts w:ascii="Arial" w:hAnsi="Arial" w:cs="Arial"/>
          <w:b/>
          <w:bCs/>
          <w:noProof/>
          <w:sz w:val="36"/>
          <w:szCs w:val="36"/>
        </w:rPr>
        <w:drawing>
          <wp:anchor distT="0" distB="0" distL="114300" distR="114300" simplePos="0" relativeHeight="251659264" behindDoc="0" locked="0" layoutInCell="1" allowOverlap="1" wp14:anchorId="69C5E359" wp14:editId="363D73D5">
            <wp:simplePos x="0" y="0"/>
            <wp:positionH relativeFrom="page">
              <wp:posOffset>0</wp:posOffset>
            </wp:positionH>
            <wp:positionV relativeFrom="paragraph">
              <wp:posOffset>-1369118</wp:posOffset>
            </wp:positionV>
            <wp:extent cx="7848600" cy="11096209"/>
            <wp:effectExtent l="0" t="0" r="0" b="0"/>
            <wp:wrapNone/>
            <wp:docPr id="13173687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48600" cy="110962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500A87" w14:textId="77777777" w:rsidR="008F23CB" w:rsidRDefault="008F23CB" w:rsidP="008F23CB">
      <w:pPr>
        <w:spacing w:line="276" w:lineRule="auto"/>
        <w:jc w:val="center"/>
        <w:rPr>
          <w:rStyle w:val="normaltextrun"/>
          <w:rFonts w:ascii="Arial" w:hAnsi="Arial" w:cs="Arial"/>
          <w:b/>
          <w:bCs/>
          <w:sz w:val="28"/>
          <w:szCs w:val="28"/>
        </w:rPr>
      </w:pPr>
    </w:p>
    <w:p w14:paraId="699ECDB7" w14:textId="77777777" w:rsidR="008F23CB" w:rsidRDefault="008F23CB" w:rsidP="008F23CB">
      <w:pPr>
        <w:spacing w:line="276" w:lineRule="auto"/>
        <w:jc w:val="center"/>
        <w:rPr>
          <w:rStyle w:val="normaltextrun"/>
          <w:rFonts w:ascii="Arial" w:hAnsi="Arial" w:cs="Arial"/>
          <w:b/>
          <w:bCs/>
          <w:sz w:val="28"/>
          <w:szCs w:val="28"/>
        </w:rPr>
      </w:pPr>
    </w:p>
    <w:p w14:paraId="1425FBEF" w14:textId="77777777" w:rsidR="008F23CB" w:rsidRDefault="008F23CB" w:rsidP="008F23CB">
      <w:pPr>
        <w:spacing w:line="276" w:lineRule="auto"/>
        <w:jc w:val="center"/>
        <w:rPr>
          <w:rStyle w:val="normaltextrun"/>
          <w:rFonts w:ascii="Arial" w:hAnsi="Arial" w:cs="Arial"/>
          <w:b/>
          <w:bCs/>
          <w:sz w:val="28"/>
          <w:szCs w:val="28"/>
        </w:rPr>
      </w:pPr>
    </w:p>
    <w:p w14:paraId="5234AE57" w14:textId="77777777" w:rsidR="008F23CB" w:rsidRDefault="008F23CB" w:rsidP="008F23CB">
      <w:pPr>
        <w:spacing w:line="276" w:lineRule="auto"/>
        <w:jc w:val="center"/>
        <w:rPr>
          <w:rStyle w:val="normaltextrun"/>
          <w:rFonts w:ascii="Arial" w:hAnsi="Arial" w:cs="Arial"/>
          <w:b/>
          <w:bCs/>
          <w:sz w:val="28"/>
          <w:szCs w:val="28"/>
        </w:rPr>
      </w:pPr>
    </w:p>
    <w:p w14:paraId="0DBF13F1" w14:textId="77777777" w:rsidR="008F23CB" w:rsidRDefault="008F23CB" w:rsidP="008F23CB">
      <w:pPr>
        <w:spacing w:line="276" w:lineRule="auto"/>
        <w:jc w:val="center"/>
        <w:rPr>
          <w:rStyle w:val="normaltextrun"/>
          <w:rFonts w:ascii="Arial" w:hAnsi="Arial" w:cs="Arial"/>
          <w:b/>
          <w:bCs/>
          <w:sz w:val="28"/>
          <w:szCs w:val="28"/>
        </w:rPr>
      </w:pPr>
    </w:p>
    <w:p w14:paraId="4521879A" w14:textId="77777777" w:rsidR="008F23CB" w:rsidRDefault="008F23CB" w:rsidP="008F23CB">
      <w:pPr>
        <w:spacing w:line="276" w:lineRule="auto"/>
        <w:jc w:val="center"/>
        <w:rPr>
          <w:rStyle w:val="normaltextrun"/>
          <w:rFonts w:ascii="Arial" w:hAnsi="Arial" w:cs="Arial"/>
          <w:b/>
          <w:bCs/>
          <w:sz w:val="28"/>
          <w:szCs w:val="28"/>
        </w:rPr>
      </w:pPr>
    </w:p>
    <w:p w14:paraId="0C899286" w14:textId="77777777" w:rsidR="008F23CB" w:rsidRDefault="008F23CB" w:rsidP="008F23CB">
      <w:pPr>
        <w:spacing w:line="276" w:lineRule="auto"/>
        <w:jc w:val="center"/>
        <w:rPr>
          <w:rStyle w:val="normaltextrun"/>
          <w:rFonts w:ascii="Arial" w:hAnsi="Arial" w:cs="Arial"/>
          <w:b/>
          <w:bCs/>
          <w:sz w:val="28"/>
          <w:szCs w:val="28"/>
        </w:rPr>
      </w:pPr>
    </w:p>
    <w:p w14:paraId="2B59501E" w14:textId="77777777" w:rsidR="008F23CB" w:rsidRDefault="008F23CB" w:rsidP="008F23CB">
      <w:pPr>
        <w:spacing w:line="276" w:lineRule="auto"/>
        <w:jc w:val="center"/>
        <w:rPr>
          <w:rStyle w:val="normaltextrun"/>
          <w:rFonts w:ascii="Arial" w:hAnsi="Arial" w:cs="Arial"/>
          <w:b/>
          <w:bCs/>
          <w:sz w:val="28"/>
          <w:szCs w:val="28"/>
        </w:rPr>
      </w:pPr>
    </w:p>
    <w:p w14:paraId="2A770633" w14:textId="77777777" w:rsidR="008F23CB" w:rsidRDefault="008F23CB" w:rsidP="008F23CB">
      <w:pPr>
        <w:spacing w:line="276" w:lineRule="auto"/>
        <w:jc w:val="center"/>
        <w:rPr>
          <w:rStyle w:val="normaltextrun"/>
          <w:rFonts w:ascii="Arial" w:hAnsi="Arial" w:cs="Arial"/>
          <w:b/>
          <w:bCs/>
          <w:sz w:val="28"/>
          <w:szCs w:val="28"/>
        </w:rPr>
      </w:pPr>
    </w:p>
    <w:p w14:paraId="2A1A46BD" w14:textId="77777777" w:rsidR="008F23CB" w:rsidRDefault="008F23CB" w:rsidP="008F23CB">
      <w:pPr>
        <w:spacing w:line="276" w:lineRule="auto"/>
        <w:jc w:val="center"/>
        <w:rPr>
          <w:rStyle w:val="normaltextrun"/>
          <w:rFonts w:ascii="Arial" w:hAnsi="Arial" w:cs="Arial"/>
          <w:b/>
          <w:bCs/>
          <w:sz w:val="28"/>
          <w:szCs w:val="28"/>
        </w:rPr>
      </w:pPr>
    </w:p>
    <w:p w14:paraId="43E072B0" w14:textId="77777777" w:rsidR="008F23CB" w:rsidRDefault="008F23CB" w:rsidP="008F23CB">
      <w:pPr>
        <w:spacing w:line="276" w:lineRule="auto"/>
        <w:jc w:val="center"/>
        <w:rPr>
          <w:rStyle w:val="normaltextrun"/>
          <w:rFonts w:ascii="Arial" w:hAnsi="Arial" w:cs="Arial"/>
          <w:b/>
          <w:bCs/>
          <w:sz w:val="28"/>
          <w:szCs w:val="28"/>
        </w:rPr>
      </w:pPr>
    </w:p>
    <w:p w14:paraId="5AAAFF4A" w14:textId="77777777" w:rsidR="008F23CB" w:rsidRDefault="008F23CB" w:rsidP="008F23CB">
      <w:pPr>
        <w:spacing w:line="276" w:lineRule="auto"/>
        <w:jc w:val="center"/>
        <w:rPr>
          <w:rStyle w:val="normaltextrun"/>
          <w:rFonts w:ascii="Arial" w:hAnsi="Arial" w:cs="Arial"/>
          <w:b/>
          <w:bCs/>
          <w:sz w:val="28"/>
          <w:szCs w:val="28"/>
        </w:rPr>
      </w:pPr>
    </w:p>
    <w:p w14:paraId="2FFFF1E1" w14:textId="77777777" w:rsidR="008F23CB" w:rsidRDefault="008F23CB" w:rsidP="008F23CB">
      <w:pPr>
        <w:spacing w:line="276" w:lineRule="auto"/>
        <w:jc w:val="center"/>
        <w:rPr>
          <w:rStyle w:val="normaltextrun"/>
          <w:rFonts w:ascii="Arial" w:hAnsi="Arial" w:cs="Arial"/>
          <w:b/>
          <w:bCs/>
          <w:sz w:val="28"/>
          <w:szCs w:val="28"/>
        </w:rPr>
      </w:pPr>
    </w:p>
    <w:p w14:paraId="586965F4" w14:textId="77777777" w:rsidR="008F23CB" w:rsidRDefault="008F23CB" w:rsidP="008F23CB">
      <w:pPr>
        <w:spacing w:line="276" w:lineRule="auto"/>
        <w:jc w:val="center"/>
        <w:rPr>
          <w:rStyle w:val="normaltextrun"/>
          <w:rFonts w:ascii="Arial" w:hAnsi="Arial" w:cs="Arial"/>
          <w:b/>
          <w:bCs/>
          <w:sz w:val="28"/>
          <w:szCs w:val="28"/>
        </w:rPr>
      </w:pPr>
    </w:p>
    <w:p w14:paraId="698733AD" w14:textId="77777777" w:rsidR="008F23CB" w:rsidRDefault="008F23CB" w:rsidP="008F23CB">
      <w:pPr>
        <w:spacing w:line="276" w:lineRule="auto"/>
        <w:jc w:val="center"/>
        <w:rPr>
          <w:rStyle w:val="normaltextrun"/>
          <w:rFonts w:ascii="Arial" w:hAnsi="Arial" w:cs="Arial"/>
          <w:b/>
          <w:bCs/>
          <w:sz w:val="28"/>
          <w:szCs w:val="28"/>
        </w:rPr>
      </w:pPr>
    </w:p>
    <w:p w14:paraId="782EE864" w14:textId="77777777" w:rsidR="008F23CB" w:rsidRDefault="008F23CB" w:rsidP="008F23CB">
      <w:pPr>
        <w:spacing w:line="276" w:lineRule="auto"/>
        <w:jc w:val="center"/>
        <w:rPr>
          <w:rStyle w:val="normaltextrun"/>
          <w:rFonts w:ascii="Arial" w:hAnsi="Arial" w:cs="Arial"/>
          <w:b/>
          <w:bCs/>
          <w:sz w:val="28"/>
          <w:szCs w:val="28"/>
        </w:rPr>
      </w:pPr>
    </w:p>
    <w:p w14:paraId="31BEBEDC" w14:textId="77777777" w:rsidR="008F23CB" w:rsidRDefault="008F23CB" w:rsidP="008F23CB">
      <w:pPr>
        <w:spacing w:line="276" w:lineRule="auto"/>
        <w:jc w:val="center"/>
        <w:rPr>
          <w:rStyle w:val="normaltextrun"/>
          <w:rFonts w:ascii="Arial" w:hAnsi="Arial" w:cs="Arial"/>
          <w:b/>
          <w:bCs/>
          <w:sz w:val="28"/>
          <w:szCs w:val="28"/>
        </w:rPr>
      </w:pPr>
    </w:p>
    <w:p w14:paraId="6765ED79" w14:textId="77777777" w:rsidR="008F23CB" w:rsidRDefault="008F23CB" w:rsidP="008F23CB">
      <w:pPr>
        <w:spacing w:line="276" w:lineRule="auto"/>
        <w:jc w:val="center"/>
        <w:rPr>
          <w:rStyle w:val="normaltextrun"/>
          <w:rFonts w:ascii="Arial" w:hAnsi="Arial" w:cs="Arial"/>
          <w:b/>
          <w:bCs/>
          <w:sz w:val="28"/>
          <w:szCs w:val="28"/>
        </w:rPr>
      </w:pPr>
    </w:p>
    <w:p w14:paraId="51BCDBA0" w14:textId="77777777" w:rsidR="008F23CB" w:rsidRDefault="008F23CB" w:rsidP="008F23CB">
      <w:pPr>
        <w:spacing w:line="276" w:lineRule="auto"/>
        <w:jc w:val="center"/>
        <w:rPr>
          <w:rStyle w:val="normaltextrun"/>
          <w:rFonts w:ascii="Arial" w:hAnsi="Arial" w:cs="Arial"/>
          <w:b/>
          <w:bCs/>
          <w:sz w:val="28"/>
          <w:szCs w:val="28"/>
        </w:rPr>
      </w:pPr>
    </w:p>
    <w:p w14:paraId="6E3A76A4" w14:textId="77777777" w:rsidR="008F23CB" w:rsidRDefault="008F23CB" w:rsidP="008F23CB">
      <w:pPr>
        <w:spacing w:line="276" w:lineRule="auto"/>
        <w:jc w:val="center"/>
        <w:rPr>
          <w:rStyle w:val="normaltextrun"/>
          <w:rFonts w:ascii="Arial" w:hAnsi="Arial" w:cs="Arial"/>
          <w:b/>
          <w:bCs/>
          <w:sz w:val="28"/>
          <w:szCs w:val="28"/>
        </w:rPr>
      </w:pPr>
    </w:p>
    <w:p w14:paraId="4AAD9725" w14:textId="77777777" w:rsidR="008F23CB" w:rsidRDefault="008F23CB" w:rsidP="008F23CB">
      <w:pPr>
        <w:spacing w:line="276" w:lineRule="auto"/>
        <w:jc w:val="center"/>
        <w:rPr>
          <w:rStyle w:val="normaltextrun"/>
          <w:rFonts w:ascii="Arial" w:hAnsi="Arial" w:cs="Arial"/>
          <w:b/>
          <w:bCs/>
          <w:sz w:val="28"/>
          <w:szCs w:val="28"/>
        </w:rPr>
      </w:pPr>
    </w:p>
    <w:p w14:paraId="1F48BECE" w14:textId="77777777" w:rsidR="008F23CB" w:rsidRDefault="008F23CB" w:rsidP="008F23CB">
      <w:pPr>
        <w:spacing w:line="276" w:lineRule="auto"/>
        <w:jc w:val="center"/>
        <w:rPr>
          <w:rStyle w:val="normaltextrun"/>
          <w:rFonts w:ascii="Arial" w:hAnsi="Arial" w:cs="Arial"/>
          <w:b/>
          <w:bCs/>
          <w:sz w:val="28"/>
          <w:szCs w:val="28"/>
        </w:rPr>
      </w:pPr>
    </w:p>
    <w:p w14:paraId="7A9F93D7" w14:textId="77777777" w:rsidR="008F23CB" w:rsidRDefault="008F23CB" w:rsidP="008F23CB">
      <w:pPr>
        <w:spacing w:line="276" w:lineRule="auto"/>
        <w:jc w:val="center"/>
        <w:rPr>
          <w:rStyle w:val="normaltextrun"/>
          <w:rFonts w:ascii="Arial" w:hAnsi="Arial" w:cs="Arial"/>
          <w:b/>
          <w:bCs/>
          <w:sz w:val="28"/>
          <w:szCs w:val="28"/>
        </w:rPr>
      </w:pPr>
    </w:p>
    <w:p w14:paraId="756242F6" w14:textId="77777777" w:rsidR="008F23CB" w:rsidRDefault="008F23CB" w:rsidP="008F23CB">
      <w:pPr>
        <w:spacing w:line="276" w:lineRule="auto"/>
        <w:jc w:val="center"/>
        <w:rPr>
          <w:rStyle w:val="normaltextrun"/>
          <w:rFonts w:ascii="Arial" w:hAnsi="Arial" w:cs="Arial"/>
          <w:b/>
          <w:bCs/>
          <w:sz w:val="28"/>
          <w:szCs w:val="28"/>
        </w:rPr>
      </w:pPr>
    </w:p>
    <w:p w14:paraId="0C771ED7" w14:textId="69F60DB3" w:rsidR="001C4015" w:rsidRDefault="001C4015" w:rsidP="008F23CB">
      <w:pPr>
        <w:spacing w:line="276" w:lineRule="auto"/>
        <w:jc w:val="center"/>
        <w:rPr>
          <w:rStyle w:val="normaltextrun"/>
          <w:rFonts w:ascii="Arial" w:hAnsi="Arial" w:cs="Arial"/>
          <w:b/>
          <w:bCs/>
          <w:sz w:val="28"/>
          <w:szCs w:val="28"/>
        </w:rPr>
      </w:pPr>
    </w:p>
    <w:p w14:paraId="7A1CBAA0" w14:textId="1662CE6B" w:rsidR="00880EBF" w:rsidRDefault="007A2A4B" w:rsidP="00880EBF">
      <w:pPr>
        <w:spacing w:after="120"/>
        <w:jc w:val="center"/>
        <w:rPr>
          <w:rFonts w:ascii="Arial" w:hAnsi="Arial" w:cs="Arial"/>
          <w:b/>
          <w:bCs/>
          <w:sz w:val="36"/>
          <w:szCs w:val="36"/>
        </w:rPr>
      </w:pPr>
      <w:r w:rsidRPr="00880EBF">
        <w:rPr>
          <w:rFonts w:ascii="Arial" w:hAnsi="Arial" w:cs="Arial"/>
          <w:b/>
          <w:bCs/>
          <w:noProof/>
          <w:sz w:val="36"/>
          <w:szCs w:val="36"/>
        </w:rPr>
        <w:drawing>
          <wp:anchor distT="0" distB="0" distL="114300" distR="114300" simplePos="0" relativeHeight="251658240" behindDoc="1" locked="0" layoutInCell="1" allowOverlap="1" wp14:anchorId="191EA8F5" wp14:editId="1F7B9B11">
            <wp:simplePos x="0" y="0"/>
            <wp:positionH relativeFrom="column">
              <wp:posOffset>-601980</wp:posOffset>
            </wp:positionH>
            <wp:positionV relativeFrom="paragraph">
              <wp:posOffset>-644525</wp:posOffset>
            </wp:positionV>
            <wp:extent cx="1082040" cy="333051"/>
            <wp:effectExtent l="0" t="0" r="3810" b="0"/>
            <wp:wrapNone/>
            <wp:docPr id="2828637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040" cy="333051"/>
                    </a:xfrm>
                    <a:prstGeom prst="rect">
                      <a:avLst/>
                    </a:prstGeom>
                    <a:noFill/>
                    <a:ln>
                      <a:noFill/>
                    </a:ln>
                  </pic:spPr>
                </pic:pic>
              </a:graphicData>
            </a:graphic>
            <wp14:sizeRelH relativeFrom="page">
              <wp14:pctWidth>0</wp14:pctWidth>
            </wp14:sizeRelH>
            <wp14:sizeRelV relativeFrom="page">
              <wp14:pctHeight>0</wp14:pctHeight>
            </wp14:sizeRelV>
          </wp:anchor>
        </w:drawing>
      </w:r>
      <w:r w:rsidR="00880EBF" w:rsidRPr="00880EBF">
        <w:rPr>
          <w:rStyle w:val="normaltextrun"/>
          <w:rFonts w:ascii="Arial" w:hAnsi="Arial" w:cs="Arial"/>
          <w:b/>
          <w:bCs/>
          <w:sz w:val="36"/>
          <w:szCs w:val="36"/>
        </w:rPr>
        <w:t>“</w:t>
      </w:r>
      <w:r w:rsidR="008F23CB">
        <w:rPr>
          <w:rStyle w:val="normaltextrun"/>
          <w:rFonts w:ascii="Arial" w:hAnsi="Arial" w:cs="Arial"/>
          <w:b/>
          <w:bCs/>
          <w:sz w:val="36"/>
          <w:szCs w:val="36"/>
        </w:rPr>
        <w:t>Fortalece tu competencia</w:t>
      </w:r>
      <w:r w:rsidR="00880EBF" w:rsidRPr="00880EBF">
        <w:rPr>
          <w:rFonts w:ascii="Arial" w:hAnsi="Arial" w:cs="Arial"/>
          <w:b/>
          <w:bCs/>
          <w:sz w:val="36"/>
          <w:szCs w:val="36"/>
        </w:rPr>
        <w:t>”</w:t>
      </w:r>
    </w:p>
    <w:p w14:paraId="632A4EAF" w14:textId="77777777" w:rsidR="00880EBF" w:rsidRPr="00880EBF" w:rsidRDefault="00880EBF" w:rsidP="00880EBF">
      <w:pPr>
        <w:spacing w:after="120"/>
        <w:jc w:val="center"/>
        <w:rPr>
          <w:rFonts w:ascii="Arial" w:hAnsi="Arial" w:cs="Arial"/>
          <w:b/>
          <w:bCs/>
          <w:sz w:val="36"/>
          <w:szCs w:val="36"/>
        </w:rPr>
      </w:pPr>
    </w:p>
    <w:p w14:paraId="785C9B11" w14:textId="13A27F5D" w:rsidR="008F23CB" w:rsidRDefault="00897894" w:rsidP="0080535C">
      <w:pPr>
        <w:spacing w:line="276" w:lineRule="auto"/>
        <w:jc w:val="both"/>
        <w:rPr>
          <w:rFonts w:ascii="Arial" w:hAnsi="Arial" w:cs="Arial"/>
          <w:sz w:val="24"/>
          <w:szCs w:val="24"/>
        </w:rPr>
      </w:pPr>
      <w:r w:rsidRPr="00897894">
        <w:rPr>
          <w:rFonts w:ascii="Arial" w:hAnsi="Arial" w:cs="Arial"/>
          <w:sz w:val="28"/>
          <w:szCs w:val="28"/>
        </w:rPr>
        <w:t>Has concluido este tema. Antes de continuar avanzando, es importante aplicar tu conocimiento sobre el tema de los contratos, como un instrumento de transparencia y compromiso democrático. Elabora un documento, utilizando la siguiente tabla, en el que reflexiones sobre los planteamientos que se muestran a continuación:</w:t>
      </w:r>
    </w:p>
    <w:tbl>
      <w:tblPr>
        <w:tblStyle w:val="Tablaconcuadrcula"/>
        <w:tblW w:w="0" w:type="auto"/>
        <w:tblLook w:val="04A0" w:firstRow="1" w:lastRow="0" w:firstColumn="1" w:lastColumn="0" w:noHBand="0" w:noVBand="1"/>
      </w:tblPr>
      <w:tblGrid>
        <w:gridCol w:w="4531"/>
        <w:gridCol w:w="4297"/>
      </w:tblGrid>
      <w:tr w:rsidR="008F23CB" w:rsidRPr="007E3311" w14:paraId="7E74C407" w14:textId="77777777" w:rsidTr="0061653D">
        <w:tc>
          <w:tcPr>
            <w:tcW w:w="4531" w:type="dxa"/>
          </w:tcPr>
          <w:p w14:paraId="61A2FF97" w14:textId="4A99A2D4" w:rsidR="008F23CB" w:rsidRPr="008F23CB" w:rsidRDefault="00897894" w:rsidP="0061653D">
            <w:pPr>
              <w:spacing w:after="120" w:line="276" w:lineRule="auto"/>
              <w:rPr>
                <w:rFonts w:ascii="Arial" w:hAnsi="Arial" w:cs="Arial"/>
                <w:sz w:val="28"/>
                <w:szCs w:val="28"/>
              </w:rPr>
            </w:pPr>
            <w:r w:rsidRPr="00897894">
              <w:rPr>
                <w:rFonts w:ascii="Arial" w:hAnsi="Arial" w:cs="Arial"/>
                <w:sz w:val="28"/>
                <w:szCs w:val="28"/>
              </w:rPr>
              <w:t>A partir de lo establecido en los artículos 27 y 28 del Reglamento en materia de Adquisiciones, explica el propósito del Registro de Evaluación de proveedores y señala al responsable de mantenerlo actualizado:</w:t>
            </w:r>
          </w:p>
        </w:tc>
        <w:tc>
          <w:tcPr>
            <w:tcW w:w="4297" w:type="dxa"/>
          </w:tcPr>
          <w:p w14:paraId="45343226" w14:textId="77777777" w:rsidR="008F23CB" w:rsidRPr="007E3311" w:rsidRDefault="008F23CB" w:rsidP="0061653D">
            <w:pPr>
              <w:pStyle w:val="NormalWeb"/>
              <w:spacing w:after="120" w:line="276" w:lineRule="auto"/>
              <w:rPr>
                <w:rFonts w:ascii="Arial" w:hAnsi="Arial" w:cs="Arial"/>
              </w:rPr>
            </w:pPr>
          </w:p>
        </w:tc>
      </w:tr>
      <w:tr w:rsidR="008F23CB" w:rsidRPr="007E3311" w14:paraId="689E967E" w14:textId="77777777" w:rsidTr="0061653D">
        <w:tc>
          <w:tcPr>
            <w:tcW w:w="4531" w:type="dxa"/>
          </w:tcPr>
          <w:p w14:paraId="609133C8" w14:textId="7BE86175" w:rsidR="008F23CB" w:rsidRPr="008F23CB" w:rsidRDefault="00897894" w:rsidP="0061653D">
            <w:pPr>
              <w:spacing w:after="120" w:line="276" w:lineRule="auto"/>
              <w:rPr>
                <w:rFonts w:ascii="Arial" w:hAnsi="Arial" w:cs="Arial"/>
                <w:sz w:val="28"/>
                <w:szCs w:val="28"/>
              </w:rPr>
            </w:pPr>
            <w:r w:rsidRPr="00897894">
              <w:rPr>
                <w:rFonts w:ascii="Arial" w:hAnsi="Arial" w:cs="Arial"/>
                <w:sz w:val="28"/>
                <w:szCs w:val="28"/>
              </w:rPr>
              <w:t>De acuerdo con los artículos 50 y 51, si una licitación fuera declarada desierta, pero la Adquisición es requerida de forma urgente, ¿bajo qué fracción se podría exceptuar al proveedor de presentar garantía de cumplimiento? Justifica cómo esta excepción sigue cumpliendo con los principios de legalidad y eficacia:</w:t>
            </w:r>
            <w:r w:rsidRPr="00897894">
              <w:rPr>
                <w:rFonts w:ascii="Arial" w:hAnsi="Arial" w:cs="Arial"/>
                <w:sz w:val="28"/>
                <w:szCs w:val="28"/>
              </w:rPr>
              <w:tab/>
            </w:r>
          </w:p>
        </w:tc>
        <w:tc>
          <w:tcPr>
            <w:tcW w:w="4297" w:type="dxa"/>
          </w:tcPr>
          <w:p w14:paraId="3D7C6795" w14:textId="77777777" w:rsidR="008F23CB" w:rsidRPr="007E3311" w:rsidRDefault="008F23CB" w:rsidP="0061653D">
            <w:pPr>
              <w:pStyle w:val="NormalWeb"/>
              <w:spacing w:after="120" w:line="276" w:lineRule="auto"/>
              <w:rPr>
                <w:rFonts w:ascii="Arial" w:hAnsi="Arial" w:cs="Arial"/>
              </w:rPr>
            </w:pPr>
          </w:p>
        </w:tc>
      </w:tr>
      <w:tr w:rsidR="008F23CB" w:rsidRPr="007E3311" w14:paraId="1059A1C1" w14:textId="77777777" w:rsidTr="0061653D">
        <w:tc>
          <w:tcPr>
            <w:tcW w:w="4531" w:type="dxa"/>
          </w:tcPr>
          <w:p w14:paraId="27005809" w14:textId="54FF17DF" w:rsidR="008F23CB" w:rsidRPr="008F23CB" w:rsidRDefault="00897894" w:rsidP="0061653D">
            <w:pPr>
              <w:pStyle w:val="NormalWeb"/>
              <w:spacing w:after="120" w:line="276" w:lineRule="auto"/>
              <w:rPr>
                <w:rFonts w:ascii="Arial" w:hAnsi="Arial" w:cs="Arial"/>
                <w:sz w:val="28"/>
                <w:szCs w:val="28"/>
              </w:rPr>
            </w:pPr>
            <w:r w:rsidRPr="00897894">
              <w:rPr>
                <w:rFonts w:ascii="Arial" w:hAnsi="Arial" w:cs="Arial"/>
                <w:sz w:val="28"/>
                <w:szCs w:val="28"/>
              </w:rPr>
              <w:t>Reflexiona críticamente, sobre los riesgos legales o administrativos que se pueden enfrentar al tomar la decisión de rescindir un contrato, sin una fundamentación sólida.</w:t>
            </w:r>
          </w:p>
        </w:tc>
        <w:tc>
          <w:tcPr>
            <w:tcW w:w="4297" w:type="dxa"/>
          </w:tcPr>
          <w:p w14:paraId="533E1933" w14:textId="77777777" w:rsidR="008F23CB" w:rsidRPr="007E3311" w:rsidRDefault="008F23CB" w:rsidP="0061653D">
            <w:pPr>
              <w:pStyle w:val="NormalWeb"/>
              <w:spacing w:after="120" w:line="276" w:lineRule="auto"/>
              <w:rPr>
                <w:rFonts w:ascii="Arial" w:hAnsi="Arial" w:cs="Arial"/>
              </w:rPr>
            </w:pPr>
          </w:p>
        </w:tc>
      </w:tr>
      <w:tr w:rsidR="008F23CB" w:rsidRPr="007E3311" w14:paraId="7AC4B35D" w14:textId="77777777" w:rsidTr="0061653D">
        <w:tc>
          <w:tcPr>
            <w:tcW w:w="4531" w:type="dxa"/>
          </w:tcPr>
          <w:p w14:paraId="599F35FD" w14:textId="194DAE69" w:rsidR="008F23CB" w:rsidRPr="008F23CB" w:rsidRDefault="00897894" w:rsidP="0061653D">
            <w:pPr>
              <w:spacing w:after="120" w:line="276" w:lineRule="auto"/>
              <w:rPr>
                <w:rFonts w:ascii="Arial" w:hAnsi="Arial" w:cs="Arial"/>
                <w:sz w:val="28"/>
                <w:szCs w:val="28"/>
              </w:rPr>
            </w:pPr>
            <w:r w:rsidRPr="00897894">
              <w:rPr>
                <w:rFonts w:ascii="Arial" w:hAnsi="Arial" w:cs="Arial"/>
                <w:sz w:val="28"/>
                <w:szCs w:val="28"/>
              </w:rPr>
              <w:t xml:space="preserve">Desde tu experiencia profesional en el INE, describe qué acciones </w:t>
            </w:r>
            <w:r w:rsidRPr="00897894">
              <w:rPr>
                <w:rFonts w:ascii="Arial" w:hAnsi="Arial" w:cs="Arial"/>
                <w:sz w:val="28"/>
                <w:szCs w:val="28"/>
              </w:rPr>
              <w:lastRenderedPageBreak/>
              <w:t>recomendarías que se implementen para prevenir conflictos derivados del incumplimiento contractual.</w:t>
            </w:r>
          </w:p>
        </w:tc>
        <w:tc>
          <w:tcPr>
            <w:tcW w:w="4297" w:type="dxa"/>
          </w:tcPr>
          <w:p w14:paraId="4BE712AF" w14:textId="77777777" w:rsidR="008F23CB" w:rsidRPr="007E3311" w:rsidRDefault="008F23CB" w:rsidP="0061653D">
            <w:pPr>
              <w:pStyle w:val="NormalWeb"/>
              <w:spacing w:after="120" w:line="276" w:lineRule="auto"/>
              <w:rPr>
                <w:rFonts w:ascii="Arial" w:hAnsi="Arial" w:cs="Arial"/>
              </w:rPr>
            </w:pPr>
          </w:p>
        </w:tc>
      </w:tr>
    </w:tbl>
    <w:p w14:paraId="136305D7" w14:textId="77777777" w:rsidR="00880EBF" w:rsidRPr="001C4015" w:rsidRDefault="00880EBF" w:rsidP="00880EBF">
      <w:pPr>
        <w:spacing w:line="276" w:lineRule="auto"/>
        <w:jc w:val="center"/>
        <w:rPr>
          <w:rFonts w:ascii="Arial" w:hAnsi="Arial" w:cs="Arial"/>
          <w:sz w:val="24"/>
          <w:szCs w:val="24"/>
        </w:rPr>
      </w:pPr>
    </w:p>
    <w:sectPr w:rsidR="00880EBF" w:rsidRPr="001C4015" w:rsidSect="001C4015">
      <w:pgSz w:w="12240" w:h="15840"/>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88CA" w14:textId="77777777" w:rsidR="00A34B27" w:rsidRDefault="00A34B27" w:rsidP="00DE1068">
      <w:pPr>
        <w:spacing w:after="0" w:line="240" w:lineRule="auto"/>
      </w:pPr>
      <w:r>
        <w:separator/>
      </w:r>
    </w:p>
  </w:endnote>
  <w:endnote w:type="continuationSeparator" w:id="0">
    <w:p w14:paraId="0522D327" w14:textId="77777777" w:rsidR="00A34B27" w:rsidRDefault="00A34B27" w:rsidP="00DE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014E" w14:textId="77777777" w:rsidR="00A34B27" w:rsidRDefault="00A34B27" w:rsidP="00DE1068">
      <w:pPr>
        <w:spacing w:after="0" w:line="240" w:lineRule="auto"/>
      </w:pPr>
      <w:r>
        <w:separator/>
      </w:r>
    </w:p>
  </w:footnote>
  <w:footnote w:type="continuationSeparator" w:id="0">
    <w:p w14:paraId="43E92729" w14:textId="77777777" w:rsidR="00A34B27" w:rsidRDefault="00A34B27" w:rsidP="00DE10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4B"/>
    <w:rsid w:val="000D75CD"/>
    <w:rsid w:val="001C4015"/>
    <w:rsid w:val="00272F0D"/>
    <w:rsid w:val="003F2EE0"/>
    <w:rsid w:val="00413A8F"/>
    <w:rsid w:val="00574C8A"/>
    <w:rsid w:val="005E7328"/>
    <w:rsid w:val="006437DF"/>
    <w:rsid w:val="007A2A4B"/>
    <w:rsid w:val="0080535C"/>
    <w:rsid w:val="0081054B"/>
    <w:rsid w:val="00856A3F"/>
    <w:rsid w:val="00872B2A"/>
    <w:rsid w:val="00880EBF"/>
    <w:rsid w:val="00897894"/>
    <w:rsid w:val="008D3C13"/>
    <w:rsid w:val="008E466F"/>
    <w:rsid w:val="008F23CB"/>
    <w:rsid w:val="009E6EBC"/>
    <w:rsid w:val="00A34B27"/>
    <w:rsid w:val="00B764D5"/>
    <w:rsid w:val="00B8038E"/>
    <w:rsid w:val="00C04934"/>
    <w:rsid w:val="00C43960"/>
    <w:rsid w:val="00D66F7D"/>
    <w:rsid w:val="00DE1068"/>
    <w:rsid w:val="00E1362F"/>
    <w:rsid w:val="00E255DC"/>
    <w:rsid w:val="00E82485"/>
    <w:rsid w:val="00EA5928"/>
    <w:rsid w:val="00EF2AE7"/>
    <w:rsid w:val="00F3041D"/>
    <w:rsid w:val="00F83ED7"/>
    <w:rsid w:val="00F87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41523"/>
  <w15:chartTrackingRefBased/>
  <w15:docId w15:val="{485AE3E9-E237-48FB-B21B-90D62F1B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2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A2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A2A4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7A2A4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A2A4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A2A4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2A4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2A4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2A4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2A4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A2A4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A2A4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7A2A4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A2A4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A2A4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2A4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2A4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2A4B"/>
    <w:rPr>
      <w:rFonts w:eastAsiaTheme="majorEastAsia" w:cstheme="majorBidi"/>
      <w:color w:val="272727" w:themeColor="text1" w:themeTint="D8"/>
    </w:rPr>
  </w:style>
  <w:style w:type="paragraph" w:styleId="Ttulo">
    <w:name w:val="Title"/>
    <w:basedOn w:val="Normal"/>
    <w:next w:val="Normal"/>
    <w:link w:val="TtuloCar"/>
    <w:uiPriority w:val="10"/>
    <w:qFormat/>
    <w:rsid w:val="007A2A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2A4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2A4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2A4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2A4B"/>
    <w:pPr>
      <w:spacing w:before="160"/>
      <w:jc w:val="center"/>
    </w:pPr>
    <w:rPr>
      <w:i/>
      <w:iCs/>
      <w:color w:val="404040" w:themeColor="text1" w:themeTint="BF"/>
    </w:rPr>
  </w:style>
  <w:style w:type="character" w:customStyle="1" w:styleId="CitaCar">
    <w:name w:val="Cita Car"/>
    <w:basedOn w:val="Fuentedeprrafopredeter"/>
    <w:link w:val="Cita"/>
    <w:uiPriority w:val="29"/>
    <w:rsid w:val="007A2A4B"/>
    <w:rPr>
      <w:i/>
      <w:iCs/>
      <w:color w:val="404040" w:themeColor="text1" w:themeTint="BF"/>
    </w:rPr>
  </w:style>
  <w:style w:type="paragraph" w:styleId="Prrafodelista">
    <w:name w:val="List Paragraph"/>
    <w:basedOn w:val="Normal"/>
    <w:uiPriority w:val="34"/>
    <w:qFormat/>
    <w:rsid w:val="007A2A4B"/>
    <w:pPr>
      <w:ind w:left="720"/>
      <w:contextualSpacing/>
    </w:pPr>
  </w:style>
  <w:style w:type="character" w:styleId="nfasisintenso">
    <w:name w:val="Intense Emphasis"/>
    <w:basedOn w:val="Fuentedeprrafopredeter"/>
    <w:uiPriority w:val="21"/>
    <w:qFormat/>
    <w:rsid w:val="007A2A4B"/>
    <w:rPr>
      <w:i/>
      <w:iCs/>
      <w:color w:val="2F5496" w:themeColor="accent1" w:themeShade="BF"/>
    </w:rPr>
  </w:style>
  <w:style w:type="paragraph" w:styleId="Citadestacada">
    <w:name w:val="Intense Quote"/>
    <w:basedOn w:val="Normal"/>
    <w:next w:val="Normal"/>
    <w:link w:val="CitadestacadaCar"/>
    <w:uiPriority w:val="30"/>
    <w:qFormat/>
    <w:rsid w:val="007A2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A2A4B"/>
    <w:rPr>
      <w:i/>
      <w:iCs/>
      <w:color w:val="2F5496" w:themeColor="accent1" w:themeShade="BF"/>
    </w:rPr>
  </w:style>
  <w:style w:type="character" w:styleId="Referenciaintensa">
    <w:name w:val="Intense Reference"/>
    <w:basedOn w:val="Fuentedeprrafopredeter"/>
    <w:uiPriority w:val="32"/>
    <w:qFormat/>
    <w:rsid w:val="007A2A4B"/>
    <w:rPr>
      <w:b/>
      <w:bCs/>
      <w:smallCaps/>
      <w:color w:val="2F5496" w:themeColor="accent1" w:themeShade="BF"/>
      <w:spacing w:val="5"/>
    </w:rPr>
  </w:style>
  <w:style w:type="character" w:customStyle="1" w:styleId="normaltextrun">
    <w:name w:val="normaltextrun"/>
    <w:basedOn w:val="Fuentedeprrafopredeter"/>
    <w:rsid w:val="007A2A4B"/>
  </w:style>
  <w:style w:type="paragraph" w:styleId="Encabezado">
    <w:name w:val="header"/>
    <w:basedOn w:val="Normal"/>
    <w:link w:val="EncabezadoCar"/>
    <w:uiPriority w:val="99"/>
    <w:unhideWhenUsed/>
    <w:rsid w:val="00DE106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E1068"/>
  </w:style>
  <w:style w:type="paragraph" w:styleId="Piedepgina">
    <w:name w:val="footer"/>
    <w:basedOn w:val="Normal"/>
    <w:link w:val="PiedepginaCar"/>
    <w:uiPriority w:val="99"/>
    <w:unhideWhenUsed/>
    <w:rsid w:val="00DE106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E1068"/>
  </w:style>
  <w:style w:type="paragraph" w:styleId="TDC2">
    <w:name w:val="toc 2"/>
    <w:basedOn w:val="Normal"/>
    <w:next w:val="Normal"/>
    <w:autoRedefine/>
    <w:uiPriority w:val="39"/>
    <w:unhideWhenUsed/>
    <w:rsid w:val="00DE1068"/>
    <w:pPr>
      <w:spacing w:after="100" w:line="278" w:lineRule="auto"/>
      <w:ind w:left="240"/>
      <w:jc w:val="both"/>
    </w:pPr>
    <w:rPr>
      <w:sz w:val="24"/>
      <w:szCs w:val="24"/>
    </w:rPr>
  </w:style>
  <w:style w:type="paragraph" w:styleId="Textonotapie">
    <w:name w:val="footnote text"/>
    <w:basedOn w:val="Normal"/>
    <w:link w:val="TextonotapieCar"/>
    <w:uiPriority w:val="99"/>
    <w:unhideWhenUsed/>
    <w:rsid w:val="00DE1068"/>
    <w:pPr>
      <w:spacing w:after="0" w:line="240" w:lineRule="auto"/>
    </w:pPr>
    <w:rPr>
      <w:rFonts w:ascii="Arial" w:hAnsi="Arial"/>
      <w:sz w:val="20"/>
      <w:szCs w:val="20"/>
    </w:rPr>
  </w:style>
  <w:style w:type="character" w:customStyle="1" w:styleId="TextonotapieCar">
    <w:name w:val="Texto nota pie Car"/>
    <w:basedOn w:val="Fuentedeprrafopredeter"/>
    <w:link w:val="Textonotapie"/>
    <w:uiPriority w:val="99"/>
    <w:rsid w:val="00DE1068"/>
    <w:rPr>
      <w:rFonts w:ascii="Arial" w:hAnsi="Arial"/>
      <w:sz w:val="20"/>
      <w:szCs w:val="20"/>
    </w:rPr>
  </w:style>
  <w:style w:type="character" w:styleId="Refdenotaalpie">
    <w:name w:val="footnote reference"/>
    <w:basedOn w:val="Fuentedeprrafopredeter"/>
    <w:uiPriority w:val="99"/>
    <w:semiHidden/>
    <w:unhideWhenUsed/>
    <w:rsid w:val="00DE1068"/>
    <w:rPr>
      <w:vertAlign w:val="superscript"/>
    </w:rPr>
  </w:style>
  <w:style w:type="paragraph" w:styleId="NormalWeb">
    <w:name w:val="Normal (Web)"/>
    <w:basedOn w:val="Normal"/>
    <w:uiPriority w:val="99"/>
    <w:unhideWhenUsed/>
    <w:rsid w:val="00880EBF"/>
    <w:pPr>
      <w:spacing w:line="278" w:lineRule="auto"/>
      <w:jc w:val="both"/>
    </w:pPr>
    <w:rPr>
      <w:rFonts w:ascii="Times New Roman" w:hAnsi="Times New Roman" w:cs="Times New Roman"/>
      <w:sz w:val="24"/>
      <w:szCs w:val="24"/>
    </w:rPr>
  </w:style>
  <w:style w:type="table" w:styleId="Tablaconcuadrcula">
    <w:name w:val="Table Grid"/>
    <w:basedOn w:val="Tablanormal"/>
    <w:uiPriority w:val="39"/>
    <w:rsid w:val="00880EB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192</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 Ortiz</dc:creator>
  <cp:keywords/>
  <dc:description/>
  <cp:lastModifiedBy>Ignacio Ortiz</cp:lastModifiedBy>
  <cp:revision>2</cp:revision>
  <cp:lastPrinted>2025-08-01T16:31:00Z</cp:lastPrinted>
  <dcterms:created xsi:type="dcterms:W3CDTF">2025-09-24T17:13:00Z</dcterms:created>
  <dcterms:modified xsi:type="dcterms:W3CDTF">2025-09-24T17:13:00Z</dcterms:modified>
</cp:coreProperties>
</file>