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32DE8228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81257" cy="11143446"/>
            <wp:effectExtent l="0" t="0" r="5715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257" cy="11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1423D204" w:rsidR="00413A8F" w:rsidRPr="00872B2A" w:rsidRDefault="000D75CD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 xml:space="preserve">Tema </w:t>
                            </w:r>
                            <w:r w:rsidR="00916AB9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8305F0F" w14:textId="399B2EB4" w:rsidR="00413A8F" w:rsidRPr="00872B2A" w:rsidRDefault="000D75CD" w:rsidP="000D75CD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“</w:t>
                            </w:r>
                            <w:r w:rsidRPr="000D75CD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Fortalece tu competencia</w:t>
                            </w:r>
                            <w:r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1423D204" w:rsidR="00413A8F" w:rsidRPr="00872B2A" w:rsidRDefault="000D75CD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 xml:space="preserve">Tema </w:t>
                      </w:r>
                      <w:r w:rsidR="00916AB9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C</w:t>
                      </w:r>
                    </w:p>
                    <w:p w14:paraId="38305F0F" w14:textId="399B2EB4" w:rsidR="00413A8F" w:rsidRPr="00872B2A" w:rsidRDefault="000D75CD" w:rsidP="000D75CD">
                      <w:pPr>
                        <w:spacing w:line="276" w:lineRule="auto"/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“</w:t>
                      </w:r>
                      <w:r w:rsidRPr="000D75CD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Fortalece tu competencia</w:t>
                      </w:r>
                      <w:r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A6A36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0AE275CA" w:rsidR="00880EBF" w:rsidRDefault="007A2A4B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880EBF" w:rsidRDefault="00880EBF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F50B895" w14:textId="6C74CBF5" w:rsidR="008E466F" w:rsidRDefault="00916AB9" w:rsidP="00916AB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16AB9">
        <w:rPr>
          <w:rFonts w:ascii="Arial" w:hAnsi="Arial" w:cs="Arial"/>
          <w:sz w:val="28"/>
          <w:szCs w:val="28"/>
        </w:rPr>
        <w:t xml:space="preserve">Ahora que has revisado este subtema, es importante que puedas aplicar tu conocimiento para que desarrolles nuevas habilidades. Reflexiona como, en el caso de la comunidad purépecha de Cherán, </w:t>
      </w:r>
      <w:r w:rsidRPr="00916AB9">
        <w:rPr>
          <w:rFonts w:ascii="Arial" w:hAnsi="Arial" w:cs="Arial"/>
          <w:sz w:val="28"/>
          <w:szCs w:val="28"/>
        </w:rPr>
        <w:t>se relacionan</w:t>
      </w:r>
      <w:r w:rsidRPr="00916AB9">
        <w:rPr>
          <w:rFonts w:ascii="Arial" w:hAnsi="Arial" w:cs="Arial"/>
          <w:sz w:val="28"/>
          <w:szCs w:val="28"/>
        </w:rPr>
        <w:t xml:space="preserve"> el Estado de Derecho y la Democracia. Puedes utilizar la siguiente tabla:</w:t>
      </w:r>
    </w:p>
    <w:p w14:paraId="2F3A968B" w14:textId="77777777" w:rsidR="00916AB9" w:rsidRDefault="00916AB9" w:rsidP="00916A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916AB9" w:rsidRPr="00C2408F" w14:paraId="59D76DE6" w14:textId="77777777" w:rsidTr="00F2191D">
        <w:tc>
          <w:tcPr>
            <w:tcW w:w="4531" w:type="dxa"/>
          </w:tcPr>
          <w:p w14:paraId="2C21E716" w14:textId="27C23ACA" w:rsidR="00916AB9" w:rsidRPr="00916AB9" w:rsidRDefault="00916AB9" w:rsidP="00916AB9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16AB9">
              <w:rPr>
                <w:rFonts w:ascii="Arial" w:hAnsi="Arial" w:cs="Arial"/>
                <w:sz w:val="26"/>
                <w:szCs w:val="26"/>
              </w:rPr>
              <w:t xml:space="preserve">Aspectos que muestran la evolución del </w:t>
            </w:r>
            <w:r w:rsidRPr="00916AB9">
              <w:rPr>
                <w:rFonts w:ascii="Arial" w:hAnsi="Arial" w:cs="Arial"/>
                <w:sz w:val="26"/>
                <w:szCs w:val="26"/>
              </w:rPr>
              <w:t>marco normativo</w:t>
            </w:r>
            <w:r w:rsidRPr="00916AB9">
              <w:rPr>
                <w:rFonts w:ascii="Arial" w:hAnsi="Arial" w:cs="Arial"/>
                <w:sz w:val="26"/>
                <w:szCs w:val="26"/>
              </w:rPr>
              <w:t>, tanto en materia electoral como en materia de derechos humanos, para reconocer y respetar los derechos de los pueblos indígenas.</w:t>
            </w:r>
          </w:p>
        </w:tc>
        <w:tc>
          <w:tcPr>
            <w:tcW w:w="4297" w:type="dxa"/>
          </w:tcPr>
          <w:p w14:paraId="2BAAFDCD" w14:textId="77777777" w:rsidR="00916AB9" w:rsidRPr="00C2408F" w:rsidRDefault="00916AB9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16AB9" w:rsidRPr="00C2408F" w14:paraId="044D0FDF" w14:textId="77777777" w:rsidTr="00F2191D">
        <w:tc>
          <w:tcPr>
            <w:tcW w:w="4531" w:type="dxa"/>
          </w:tcPr>
          <w:p w14:paraId="389FF4E2" w14:textId="77777777" w:rsidR="00916AB9" w:rsidRPr="00916AB9" w:rsidRDefault="00916AB9" w:rsidP="00916AB9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16AB9">
              <w:rPr>
                <w:rFonts w:ascii="Arial" w:hAnsi="Arial" w:cs="Arial"/>
                <w:sz w:val="26"/>
                <w:szCs w:val="26"/>
              </w:rPr>
              <w:t>Supuestos sobre los cuales se desarrolló la transformación positiva del conflicto en el caso de la comunidad indígena de Cherán.</w:t>
            </w:r>
          </w:p>
        </w:tc>
        <w:tc>
          <w:tcPr>
            <w:tcW w:w="4297" w:type="dxa"/>
          </w:tcPr>
          <w:p w14:paraId="6B826441" w14:textId="77777777" w:rsidR="00916AB9" w:rsidRPr="00C2408F" w:rsidRDefault="00916AB9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16AB9" w:rsidRPr="00C2408F" w14:paraId="3563214D" w14:textId="77777777" w:rsidTr="00F2191D">
        <w:tc>
          <w:tcPr>
            <w:tcW w:w="4531" w:type="dxa"/>
          </w:tcPr>
          <w:p w14:paraId="1B66940A" w14:textId="77777777" w:rsidR="00916AB9" w:rsidRPr="00916AB9" w:rsidRDefault="00916AB9" w:rsidP="00916AB9">
            <w:pPr>
              <w:pStyle w:val="NormalWeb"/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16AB9">
              <w:rPr>
                <w:rFonts w:ascii="Arial" w:hAnsi="Arial" w:cs="Arial"/>
                <w:sz w:val="26"/>
                <w:szCs w:val="26"/>
              </w:rPr>
              <w:t>Oportunidades que ha abierto el caso de la comunidad indígena de Cherán para otras comunidades indígenas, en materia electoral.</w:t>
            </w:r>
          </w:p>
        </w:tc>
        <w:tc>
          <w:tcPr>
            <w:tcW w:w="4297" w:type="dxa"/>
          </w:tcPr>
          <w:p w14:paraId="4949F5AF" w14:textId="77777777" w:rsidR="00916AB9" w:rsidRPr="00C2408F" w:rsidRDefault="00916AB9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  <w:tr w:rsidR="00916AB9" w:rsidRPr="00C2408F" w14:paraId="4BB3548C" w14:textId="77777777" w:rsidTr="00F2191D">
        <w:tc>
          <w:tcPr>
            <w:tcW w:w="4531" w:type="dxa"/>
          </w:tcPr>
          <w:p w14:paraId="370161F0" w14:textId="77777777" w:rsidR="00916AB9" w:rsidRPr="00916AB9" w:rsidRDefault="00916AB9" w:rsidP="00916AB9">
            <w:pPr>
              <w:spacing w:after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916AB9">
              <w:rPr>
                <w:rFonts w:ascii="Arial" w:hAnsi="Arial" w:cs="Arial"/>
                <w:sz w:val="26"/>
                <w:szCs w:val="26"/>
              </w:rPr>
              <w:t>Describe el reto que enfrentan actualmente otras comunidades indígenas para hacer valer en la práctica, la normativa en materia electoral.</w:t>
            </w:r>
          </w:p>
        </w:tc>
        <w:tc>
          <w:tcPr>
            <w:tcW w:w="4297" w:type="dxa"/>
          </w:tcPr>
          <w:p w14:paraId="4B16FB4B" w14:textId="77777777" w:rsidR="00916AB9" w:rsidRPr="00C2408F" w:rsidRDefault="00916AB9" w:rsidP="00F2191D">
            <w:pPr>
              <w:pStyle w:val="NormalWeb"/>
              <w:spacing w:after="120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E570" w14:textId="77777777" w:rsidR="00EE10EB" w:rsidRDefault="00EE10EB" w:rsidP="00DE1068">
      <w:pPr>
        <w:spacing w:after="0" w:line="240" w:lineRule="auto"/>
      </w:pPr>
      <w:r>
        <w:separator/>
      </w:r>
    </w:p>
  </w:endnote>
  <w:endnote w:type="continuationSeparator" w:id="0">
    <w:p w14:paraId="6A92BD15" w14:textId="77777777" w:rsidR="00EE10EB" w:rsidRDefault="00EE10EB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FC43" w14:textId="77777777" w:rsidR="00EE10EB" w:rsidRDefault="00EE10EB" w:rsidP="00DE1068">
      <w:pPr>
        <w:spacing w:after="0" w:line="240" w:lineRule="auto"/>
      </w:pPr>
      <w:r>
        <w:separator/>
      </w:r>
    </w:p>
  </w:footnote>
  <w:footnote w:type="continuationSeparator" w:id="0">
    <w:p w14:paraId="2994F67A" w14:textId="77777777" w:rsidR="00EE10EB" w:rsidRDefault="00EE10EB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D75CD"/>
    <w:rsid w:val="001C4015"/>
    <w:rsid w:val="00272F0D"/>
    <w:rsid w:val="003F2EE0"/>
    <w:rsid w:val="00413A8F"/>
    <w:rsid w:val="00464202"/>
    <w:rsid w:val="00574C8A"/>
    <w:rsid w:val="007A2A4B"/>
    <w:rsid w:val="0081054B"/>
    <w:rsid w:val="00856A3F"/>
    <w:rsid w:val="00872B2A"/>
    <w:rsid w:val="00880EBF"/>
    <w:rsid w:val="008E466F"/>
    <w:rsid w:val="00916AB9"/>
    <w:rsid w:val="009E6EBC"/>
    <w:rsid w:val="00B764D5"/>
    <w:rsid w:val="00B8038E"/>
    <w:rsid w:val="00C04934"/>
    <w:rsid w:val="00C43960"/>
    <w:rsid w:val="00DE1068"/>
    <w:rsid w:val="00E1362F"/>
    <w:rsid w:val="00E82485"/>
    <w:rsid w:val="00EE10EB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Gerencia - Metaconsultec LATAM</cp:lastModifiedBy>
  <cp:revision>2</cp:revision>
  <cp:lastPrinted>2025-08-01T16:31:00Z</cp:lastPrinted>
  <dcterms:created xsi:type="dcterms:W3CDTF">2025-08-02T16:01:00Z</dcterms:created>
  <dcterms:modified xsi:type="dcterms:W3CDTF">2025-08-02T16:01:00Z</dcterms:modified>
</cp:coreProperties>
</file>